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A6867E" w14:textId="77777777" w:rsidR="00300F6C" w:rsidRDefault="009127E7">
      <w:pPr>
        <w:pStyle w:val="Body"/>
        <w:spacing w:line="480" w:lineRule="auto"/>
      </w:pPr>
      <w:r>
        <w:t>Neil Nelson</w:t>
      </w:r>
    </w:p>
    <w:p w14:paraId="278281E4" w14:textId="77777777" w:rsidR="00300F6C" w:rsidRDefault="009127E7">
      <w:pPr>
        <w:pStyle w:val="Body"/>
        <w:spacing w:line="480" w:lineRule="auto"/>
      </w:pPr>
      <w:r>
        <w:t>EDIT 720</w:t>
      </w:r>
    </w:p>
    <w:p w14:paraId="54BDD3E1" w14:textId="77777777" w:rsidR="00300F6C" w:rsidRDefault="009127E7">
      <w:pPr>
        <w:pStyle w:val="Body"/>
        <w:spacing w:line="480" w:lineRule="auto"/>
      </w:pPr>
      <w:r>
        <w:t>Dr. Corey Lee</w:t>
      </w:r>
    </w:p>
    <w:p w14:paraId="11764698" w14:textId="77777777" w:rsidR="00300F6C" w:rsidRDefault="009127E7">
      <w:pPr>
        <w:pStyle w:val="Body"/>
        <w:spacing w:line="480" w:lineRule="auto"/>
      </w:pPr>
      <w:r>
        <w:t>March 16, 2017</w:t>
      </w:r>
    </w:p>
    <w:p w14:paraId="017EDF42" w14:textId="77777777" w:rsidR="00300F6C" w:rsidRDefault="009127E7">
      <w:pPr>
        <w:pStyle w:val="Body"/>
        <w:spacing w:line="480" w:lineRule="auto"/>
        <w:jc w:val="center"/>
      </w:pPr>
      <w:r>
        <w:t>MULTIMEDIA CRITIQUE PAPER #2: MUSICTHEORY.NET</w:t>
      </w:r>
    </w:p>
    <w:p w14:paraId="7B4796A1" w14:textId="77777777" w:rsidR="00300F6C" w:rsidRDefault="009127E7">
      <w:pPr>
        <w:pStyle w:val="Body"/>
        <w:spacing w:line="480" w:lineRule="auto"/>
      </w:pPr>
      <w:r>
        <w:tab/>
      </w:r>
      <w:r>
        <w:t>Musictheory.net is a web-based and mobile application resource that presents basic to advanced fundamentals of music theory. This resource is easy to access through any device with an Internet connection and is completely free for the web-based version, al</w:t>
      </w:r>
      <w:r>
        <w:t xml:space="preserve">though the correlated mobile apps do incur a fee. I have used </w:t>
      </w:r>
      <w:hyperlink r:id="rId6" w:history="1">
        <w:r>
          <w:rPr>
            <w:rStyle w:val="Hyperlink0"/>
          </w:rPr>
          <w:t>musictheory.net</w:t>
        </w:r>
      </w:hyperlink>
      <w:r>
        <w:t xml:space="preserve"> many times in my career </w:t>
      </w:r>
      <w:r>
        <w:t xml:space="preserve">and have found the resource to be easy-to-use with a robust feature set that can be utilized in </w:t>
      </w:r>
      <w:r w:rsidR="00347238">
        <w:rPr>
          <w:noProof/>
        </w:rPr>
        <w:drawing>
          <wp:anchor distT="152400" distB="152400" distL="152400" distR="152400" simplePos="0" relativeHeight="251659264" behindDoc="0" locked="0" layoutInCell="1" allowOverlap="1" wp14:anchorId="5358DF76" wp14:editId="138193F4">
            <wp:simplePos x="0" y="0"/>
            <wp:positionH relativeFrom="margin">
              <wp:posOffset>-68580</wp:posOffset>
            </wp:positionH>
            <wp:positionV relativeFrom="line">
              <wp:posOffset>419100</wp:posOffset>
            </wp:positionV>
            <wp:extent cx="5943600" cy="2896870"/>
            <wp:effectExtent l="0" t="0" r="0" b="0"/>
            <wp:wrapThrough wrapText="bothSides" distL="152400" distR="152400">
              <wp:wrapPolygon edited="1">
                <wp:start x="0" y="0"/>
                <wp:lineTo x="21600" y="0"/>
                <wp:lineTo x="21600" y="21636"/>
                <wp:lineTo x="0" y="21636"/>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7-03-16 at 10.08.18 AM.png"/>
                    <pic:cNvPicPr>
                      <a:picLocks noChangeAspect="1"/>
                    </pic:cNvPicPr>
                  </pic:nvPicPr>
                  <pic:blipFill>
                    <a:blip r:embed="rId7">
                      <a:extLst/>
                    </a:blip>
                    <a:stretch>
                      <a:fillRect/>
                    </a:stretch>
                  </pic:blipFill>
                  <pic:spPr>
                    <a:xfrm>
                      <a:off x="0" y="0"/>
                      <a:ext cx="5943600" cy="2896870"/>
                    </a:xfrm>
                    <a:prstGeom prst="rect">
                      <a:avLst/>
                    </a:prstGeom>
                    <a:ln w="12700" cap="flat">
                      <a:noFill/>
                      <a:miter lim="400000"/>
                    </a:ln>
                    <a:effectLst/>
                  </pic:spPr>
                </pic:pic>
              </a:graphicData>
            </a:graphic>
          </wp:anchor>
        </w:drawing>
      </w:r>
      <w:r>
        <w:t>all music classrooms</w:t>
      </w:r>
      <w:r>
        <w:t xml:space="preserve"> from beginners to college level theory courses.</w:t>
      </w:r>
    </w:p>
    <w:p w14:paraId="046A8C6A" w14:textId="77777777" w:rsidR="00300F6C" w:rsidRDefault="009127E7">
      <w:pPr>
        <w:pStyle w:val="Body"/>
        <w:spacing w:line="480" w:lineRule="auto"/>
      </w:pPr>
      <w:r>
        <w:tab/>
      </w:r>
      <w:r>
        <w:rPr>
          <w:i/>
          <w:iCs/>
          <w:sz w:val="18"/>
          <w:szCs w:val="18"/>
        </w:rPr>
        <w:tab/>
      </w:r>
      <w:r>
        <w:rPr>
          <w:i/>
          <w:iCs/>
          <w:sz w:val="18"/>
          <w:szCs w:val="18"/>
        </w:rPr>
        <w:tab/>
        <w:t>Figure 1: the homepage of www.musictheory.net</w:t>
      </w:r>
      <w:r>
        <w:rPr>
          <w:i/>
          <w:iCs/>
          <w:sz w:val="18"/>
          <w:szCs w:val="18"/>
        </w:rPr>
        <w:tab/>
      </w:r>
    </w:p>
    <w:p w14:paraId="06996925" w14:textId="77777777" w:rsidR="00300F6C" w:rsidRDefault="009127E7">
      <w:pPr>
        <w:pStyle w:val="Body"/>
        <w:spacing w:line="480" w:lineRule="auto"/>
      </w:pPr>
      <w:r>
        <w:tab/>
        <w:t xml:space="preserve">The features of this service are many, but are predominately divided into sections. These sections are lessons, exercises, and tools. </w:t>
      </w:r>
      <w:r>
        <w:t>While all three resou</w:t>
      </w:r>
      <w:r>
        <w:t xml:space="preserve">rces are useful and contain a wealth of material, I will focus attention on the lessons piece for the present discussion </w:t>
      </w:r>
      <w:r>
        <w:lastRenderedPageBreak/>
        <w:t>as it provides the most teaching and learning capabilities. This is not to discount the exercises and tools but simply a function of sp</w:t>
      </w:r>
      <w:r>
        <w:t>ace limitations in this written format. I will examine both the positive and negative aspects of the lessons presented within this tool in relation to commonly accepted multimedia learning principles along with suggestions which could improve its effective</w:t>
      </w:r>
      <w:r>
        <w:t>ness.</w:t>
      </w:r>
    </w:p>
    <w:p w14:paraId="4663717B" w14:textId="77777777" w:rsidR="00300F6C" w:rsidRDefault="009127E7">
      <w:pPr>
        <w:pStyle w:val="Body"/>
        <w:spacing w:line="480" w:lineRule="auto"/>
        <w:rPr>
          <w:b/>
          <w:bCs/>
        </w:rPr>
      </w:pPr>
      <w:r>
        <w:rPr>
          <w:b/>
          <w:bCs/>
        </w:rPr>
        <w:t>POSITIVES</w:t>
      </w:r>
    </w:p>
    <w:p w14:paraId="700548A2" w14:textId="77777777" w:rsidR="00300F6C" w:rsidRDefault="009127E7">
      <w:pPr>
        <w:pStyle w:val="Body"/>
        <w:spacing w:line="480" w:lineRule="auto"/>
      </w:pPr>
      <w:r>
        <w:rPr>
          <w:b/>
          <w:bCs/>
        </w:rPr>
        <w:tab/>
      </w:r>
      <w:r>
        <w:t>Lessons are divided into 40 topics of music theory, all presented in a multimedia format.</w:t>
      </w:r>
    </w:p>
    <w:p w14:paraId="15C05D99" w14:textId="77777777" w:rsidR="00300F6C" w:rsidRDefault="009127E7">
      <w:pPr>
        <w:pStyle w:val="Body"/>
        <w:spacing w:line="480" w:lineRule="auto"/>
      </w:pPr>
      <w:r>
        <w:t>The lessons cover material from the very basic level of identifying notes on the staff to advanced topics such as using Neapolitan chords. Each lesso</w:t>
      </w:r>
      <w:r>
        <w:t xml:space="preserve">n presents a visual component in addition to incorporating a text narrative piece that explains the material being covered. The user has complete control over the pacing of the lesson with a forward or backward arrow providing movement through the lesson. </w:t>
      </w:r>
      <w:r>
        <w:t>An audio file will be presented at appropriate points in the lesson to provide an auditory example in addition to the graphical and textural explanation. The user can play the audio file as many times as necessary until they are ready to move on to the nex</w:t>
      </w:r>
      <w:r>
        <w:t xml:space="preserve">t section. </w:t>
      </w:r>
    </w:p>
    <w:p w14:paraId="0FD37C0B" w14:textId="77777777" w:rsidR="00300F6C" w:rsidRDefault="009127E7">
      <w:pPr>
        <w:pStyle w:val="Body"/>
        <w:spacing w:line="480" w:lineRule="auto"/>
      </w:pPr>
      <w:r>
        <w:tab/>
        <w:t xml:space="preserve">The design of the lessons </w:t>
      </w:r>
      <w:r w:rsidR="00347238">
        <w:t>reflects</w:t>
      </w:r>
      <w:r>
        <w:t xml:space="preserve"> an understanding by the creators of the multimedia principle (Mayer, 2001) which refers to research suggesting that learning with words and pictures is more effective than learning from words alone. The integr</w:t>
      </w:r>
      <w:r>
        <w:t>ation of graphics and audio files into the material is a true strength of the resource. Music theory is an ideal topic in which to use multimedia instruction as the integration of graphical and auditory elements is key in the process of understanding music</w:t>
      </w:r>
      <w:r>
        <w:t>. Music exists in printed form, but is often experience in auditory form. This combination of elements is a strength of multimedia instruction making it a useful tool for teaching this content.</w:t>
      </w:r>
    </w:p>
    <w:p w14:paraId="3F4A7415" w14:textId="77777777" w:rsidR="00300F6C" w:rsidRDefault="009127E7">
      <w:pPr>
        <w:pStyle w:val="Body"/>
        <w:spacing w:line="480" w:lineRule="auto"/>
      </w:pPr>
      <w:r>
        <w:tab/>
        <w:t>The ability of the user to control the pace of the lesson als</w:t>
      </w:r>
      <w:r>
        <w:t xml:space="preserve">o conforms with the segmenting principle (Mayer &amp; Pilegard, 2014) which has shown that people learn more deeply </w:t>
      </w:r>
      <w:r>
        <w:lastRenderedPageBreak/>
        <w:t>when a multimedia message is presented in learner-paced segments rather than as a continuous unit. In this design, the student can take their ti</w:t>
      </w:r>
      <w:r>
        <w:t xml:space="preserve">me to move on once they feel that they have acquired the necessary understanding, as opposed to a continue segment such as a video. The controls to move through the material are simple and intuitive and can be followed </w:t>
      </w:r>
      <w:r>
        <w:t>without any need for additional instr</w:t>
      </w:r>
      <w:r>
        <w:t xml:space="preserve">uction as to their use. The controls and basic design of the </w:t>
      </w:r>
      <w:r w:rsidR="00347238">
        <w:rPr>
          <w:noProof/>
        </w:rPr>
        <w:drawing>
          <wp:anchor distT="152400" distB="152400" distL="152400" distR="152400" simplePos="0" relativeHeight="251660288" behindDoc="0" locked="0" layoutInCell="1" allowOverlap="1" wp14:anchorId="79D3D483" wp14:editId="4E8C9B00">
            <wp:simplePos x="0" y="0"/>
            <wp:positionH relativeFrom="margin">
              <wp:posOffset>-69215</wp:posOffset>
            </wp:positionH>
            <wp:positionV relativeFrom="line">
              <wp:posOffset>381000</wp:posOffset>
            </wp:positionV>
            <wp:extent cx="5943600" cy="2923540"/>
            <wp:effectExtent l="0" t="0" r="0" b="0"/>
            <wp:wrapThrough wrapText="bothSides" distL="152400" distR="152400">
              <wp:wrapPolygon edited="1">
                <wp:start x="0" y="0"/>
                <wp:lineTo x="21600" y="0"/>
                <wp:lineTo x="21600" y="21613"/>
                <wp:lineTo x="0" y="21613"/>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reen Shot 2017-03-16 at 10.09.03 AM.png"/>
                    <pic:cNvPicPr>
                      <a:picLocks noChangeAspect="1"/>
                    </pic:cNvPicPr>
                  </pic:nvPicPr>
                  <pic:blipFill>
                    <a:blip r:embed="rId8">
                      <a:extLst/>
                    </a:blip>
                    <a:stretch>
                      <a:fillRect/>
                    </a:stretch>
                  </pic:blipFill>
                  <pic:spPr>
                    <a:xfrm>
                      <a:off x="0" y="0"/>
                      <a:ext cx="5943600" cy="2923540"/>
                    </a:xfrm>
                    <a:prstGeom prst="rect">
                      <a:avLst/>
                    </a:prstGeom>
                    <a:ln w="12700" cap="flat">
                      <a:noFill/>
                      <a:miter lim="400000"/>
                    </a:ln>
                    <a:effectLst/>
                  </pic:spPr>
                </pic:pic>
              </a:graphicData>
            </a:graphic>
          </wp:anchor>
        </w:drawing>
      </w:r>
      <w:r>
        <w:t>lessons can be seen in Figure 2, below.</w:t>
      </w:r>
    </w:p>
    <w:p w14:paraId="26542B6A" w14:textId="77777777" w:rsidR="00300F6C" w:rsidRDefault="009127E7">
      <w:pPr>
        <w:pStyle w:val="Body"/>
        <w:spacing w:line="480" w:lineRule="auto"/>
      </w:pPr>
      <w:r>
        <w:tab/>
      </w:r>
      <w:r>
        <w:tab/>
      </w:r>
      <w:r>
        <w:tab/>
      </w:r>
      <w:r>
        <w:rPr>
          <w:i/>
          <w:iCs/>
          <w:sz w:val="18"/>
          <w:szCs w:val="18"/>
        </w:rPr>
        <w:t>Figure 2: a sample lesson with user controls visible at the bottom</w:t>
      </w:r>
      <w:r>
        <w:tab/>
      </w:r>
    </w:p>
    <w:p w14:paraId="06123690" w14:textId="77777777" w:rsidR="00300F6C" w:rsidRDefault="009127E7">
      <w:pPr>
        <w:pStyle w:val="Body"/>
        <w:spacing w:line="480" w:lineRule="auto"/>
      </w:pPr>
      <w:r>
        <w:tab/>
      </w:r>
    </w:p>
    <w:p w14:paraId="03C3D682" w14:textId="77777777" w:rsidR="00300F6C" w:rsidRDefault="009127E7">
      <w:pPr>
        <w:pStyle w:val="Body"/>
        <w:spacing w:line="480" w:lineRule="auto"/>
      </w:pPr>
      <w:r>
        <w:tab/>
        <w:t>An additional strength of this resource is the use of signaling when needed to d</w:t>
      </w:r>
      <w:r>
        <w:t>raw attention to specific details to aid in understand of concepts. This is based upon the signaling principle (van Gog, 2014), a research finding that shows people learn more deeply from a multimedia message when cues are added that guide attention to the</w:t>
      </w:r>
      <w:r>
        <w:t xml:space="preserve"> relevant elements of the material. In the example picture below, the red box around part of the graphic highlights the information that is being presented in the text. This helps the learner process the information more efficiently and know exactly where </w:t>
      </w:r>
      <w:r>
        <w:t>to look for important information related to the content.</w:t>
      </w:r>
    </w:p>
    <w:p w14:paraId="0B08E271" w14:textId="77777777" w:rsidR="00300F6C" w:rsidRDefault="00347238">
      <w:pPr>
        <w:pStyle w:val="Body"/>
        <w:spacing w:line="480" w:lineRule="auto"/>
      </w:pPr>
      <w:r>
        <w:rPr>
          <w:b/>
          <w:bCs/>
          <w:noProof/>
        </w:rPr>
        <w:lastRenderedPageBreak/>
        <w:drawing>
          <wp:anchor distT="152400" distB="152400" distL="152400" distR="152400" simplePos="0" relativeHeight="251661312" behindDoc="0" locked="0" layoutInCell="1" allowOverlap="1" wp14:anchorId="0323411F" wp14:editId="7A85E7DF">
            <wp:simplePos x="0" y="0"/>
            <wp:positionH relativeFrom="margin">
              <wp:posOffset>45085</wp:posOffset>
            </wp:positionH>
            <wp:positionV relativeFrom="page">
              <wp:posOffset>459740</wp:posOffset>
            </wp:positionV>
            <wp:extent cx="5943600" cy="2789555"/>
            <wp:effectExtent l="0" t="0" r="0" b="0"/>
            <wp:wrapThrough wrapText="bothSides" distL="152400" distR="152400">
              <wp:wrapPolygon edited="1">
                <wp:start x="0" y="0"/>
                <wp:lineTo x="21600" y="0"/>
                <wp:lineTo x="21600" y="21618"/>
                <wp:lineTo x="0" y="21618"/>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17-03-16 at 10.26.12 AM.png"/>
                    <pic:cNvPicPr>
                      <a:picLocks noChangeAspect="1"/>
                    </pic:cNvPicPr>
                  </pic:nvPicPr>
                  <pic:blipFill>
                    <a:blip r:embed="rId9">
                      <a:extLst/>
                    </a:blip>
                    <a:stretch>
                      <a:fillRect/>
                    </a:stretch>
                  </pic:blipFill>
                  <pic:spPr>
                    <a:xfrm>
                      <a:off x="0" y="0"/>
                      <a:ext cx="5943600" cy="2789555"/>
                    </a:xfrm>
                    <a:prstGeom prst="rect">
                      <a:avLst/>
                    </a:prstGeom>
                    <a:ln w="12700" cap="flat">
                      <a:noFill/>
                      <a:miter lim="400000"/>
                    </a:ln>
                    <a:effectLst/>
                  </pic:spPr>
                </pic:pic>
              </a:graphicData>
            </a:graphic>
          </wp:anchor>
        </w:drawing>
      </w:r>
    </w:p>
    <w:p w14:paraId="6EE3B8C7" w14:textId="77777777" w:rsidR="00300F6C" w:rsidRDefault="009127E7">
      <w:pPr>
        <w:pStyle w:val="Body"/>
        <w:spacing w:line="480" w:lineRule="auto"/>
      </w:pPr>
      <w:r>
        <w:tab/>
      </w:r>
      <w:r>
        <w:tab/>
      </w:r>
      <w:r>
        <w:tab/>
      </w:r>
      <w:r>
        <w:tab/>
      </w:r>
      <w:r>
        <w:rPr>
          <w:i/>
          <w:iCs/>
          <w:sz w:val="18"/>
          <w:szCs w:val="18"/>
        </w:rPr>
        <w:t>Figure 3: Signaling/cueing within the lesson</w:t>
      </w:r>
    </w:p>
    <w:p w14:paraId="31349F2F" w14:textId="77777777" w:rsidR="00300F6C" w:rsidRDefault="00300F6C">
      <w:pPr>
        <w:pStyle w:val="Body"/>
        <w:spacing w:line="480" w:lineRule="auto"/>
      </w:pPr>
    </w:p>
    <w:p w14:paraId="4ACB8F56" w14:textId="77777777" w:rsidR="00300F6C" w:rsidRDefault="009127E7">
      <w:pPr>
        <w:pStyle w:val="Body"/>
        <w:spacing w:line="480" w:lineRule="auto"/>
      </w:pPr>
      <w:r>
        <w:rPr>
          <w:b/>
          <w:bCs/>
        </w:rPr>
        <w:t>NEGATIVES</w:t>
      </w:r>
    </w:p>
    <w:p w14:paraId="7E46B818" w14:textId="77777777" w:rsidR="00300F6C" w:rsidRDefault="009127E7">
      <w:pPr>
        <w:pStyle w:val="Body"/>
        <w:spacing w:line="480" w:lineRule="auto"/>
      </w:pPr>
      <w:r>
        <w:tab/>
        <w:t>While overall a superior product, especially for the price point, there are parts of the overall design of the lessons that do not foll</w:t>
      </w:r>
      <w:r>
        <w:t>ow best practices as it relates to multimedia instructional design. The most obvious flaw is that the graphics and text are separated with the graphic presented in the middle of the page and the text narration presented at the bottom of the page, a seeming</w:t>
      </w:r>
      <w:r>
        <w:t xml:space="preserve"> violation of the split-attention principle (Ayres &amp; Sweller, 2014). This principles states that it is important to avoid materials that require earnest to split their attention between multiple sources of information. When using many of the lessons, I fou</w:t>
      </w:r>
      <w:r>
        <w:t>nd my eyes constantly switching back and forth between the explanatory text at the bottom and the graphic the text was describing in the middle of the page. While I have background knowledge in the topic and this would not be distracting for me, this could</w:t>
      </w:r>
      <w:r>
        <w:t xml:space="preserve"> lead to an an increase in extraneous cognitive load in the mind of a novice learner. If the authors could find a way to integrate these elements more completely, it is like that the split-attention effect could be avoided.</w:t>
      </w:r>
    </w:p>
    <w:p w14:paraId="7A117976" w14:textId="77777777" w:rsidR="00300F6C" w:rsidRDefault="009127E7">
      <w:pPr>
        <w:pStyle w:val="Body"/>
        <w:spacing w:line="480" w:lineRule="auto"/>
      </w:pPr>
      <w:r>
        <w:lastRenderedPageBreak/>
        <w:tab/>
        <w:t>Second, the use of a written ex</w:t>
      </w:r>
      <w:r>
        <w:t>planatory text as opposed to an auditory narration would violate the modality effect principle (Mayer &amp; Pilegard, 2014). This principle states that people learn more deeply from a multimedia presentation when the words are spoken rather than printed. The r</w:t>
      </w:r>
      <w:r>
        <w:t>eason for this is that printed words combined with instructional graphics only utilize the visual channel of our dual-channel cognitive input system, which can lead to cognitive overload in the learner. If the instruction was presented with auditory narrat</w:t>
      </w:r>
      <w:r>
        <w:t xml:space="preserve">ion as opposed to printed word, the material could split the cognitive load between the auditory and visual input channels and free-up valuable cognitive processing power. While the use of audio musical examples is frequent and useful, the </w:t>
      </w:r>
      <w:r w:rsidR="00347238">
        <w:t>clear majority</w:t>
      </w:r>
      <w:r>
        <w:t xml:space="preserve"> of</w:t>
      </w:r>
      <w:r>
        <w:t xml:space="preserve"> instruction is delivered by written word. Audio narration may be a superior means of presenting content in this regard.</w:t>
      </w:r>
    </w:p>
    <w:p w14:paraId="0B6D90BE" w14:textId="77777777" w:rsidR="00300F6C" w:rsidRDefault="009127E7">
      <w:pPr>
        <w:pStyle w:val="Body"/>
        <w:spacing w:line="480" w:lineRule="auto"/>
        <w:rPr>
          <w:b/>
          <w:bCs/>
        </w:rPr>
      </w:pPr>
      <w:r>
        <w:rPr>
          <w:b/>
          <w:bCs/>
        </w:rPr>
        <w:t>CONCLUSION</w:t>
      </w:r>
    </w:p>
    <w:p w14:paraId="055679A8" w14:textId="77777777" w:rsidR="00300F6C" w:rsidRDefault="009127E7">
      <w:pPr>
        <w:pStyle w:val="Body"/>
        <w:spacing w:line="480" w:lineRule="auto"/>
      </w:pPr>
      <w:r>
        <w:rPr>
          <w:b/>
          <w:bCs/>
        </w:rPr>
        <w:tab/>
      </w:r>
      <w:r>
        <w:t>Although some improvements could be made to the design of the lessons to better conform to multimedia principles of design,</w:t>
      </w:r>
      <w:r>
        <w:t xml:space="preserve"> I feel that </w:t>
      </w:r>
      <w:hyperlink r:id="rId10" w:history="1">
        <w:r>
          <w:rPr>
            <w:rStyle w:val="Hyperlink0"/>
            <w:b/>
            <w:bCs/>
          </w:rPr>
          <w:t>musictheory.net</w:t>
        </w:r>
      </w:hyperlink>
      <w:r>
        <w:t xml:space="preserve"> is still an excellent multimedia tool to use for the teaching of music theory. This complicated topic easily overwhelms novice learners, but the use of multimedia and user-control over pacing surpasses other multimedia tools that I have encountered. The s</w:t>
      </w:r>
      <w:r>
        <w:t>trengths easily overcome and deficits in overall design. The combination of content, access, and price make this tool one that could be used in a variety of settings to better present music theory concepts to learners.</w:t>
      </w:r>
    </w:p>
    <w:p w14:paraId="6185D116" w14:textId="77777777" w:rsidR="00300F6C" w:rsidRDefault="009127E7">
      <w:pPr>
        <w:pStyle w:val="Body"/>
        <w:spacing w:line="480" w:lineRule="auto"/>
      </w:pPr>
      <w:r>
        <w:rPr>
          <w:rFonts w:ascii="Arial Unicode MS" w:hAnsi="Arial Unicode MS"/>
        </w:rPr>
        <w:br w:type="page"/>
      </w:r>
    </w:p>
    <w:p w14:paraId="65B31587" w14:textId="77777777" w:rsidR="00300F6C" w:rsidRDefault="009127E7">
      <w:pPr>
        <w:pStyle w:val="Body"/>
        <w:spacing w:line="480" w:lineRule="auto"/>
        <w:jc w:val="center"/>
      </w:pPr>
      <w:r>
        <w:lastRenderedPageBreak/>
        <w:t>BIBLIOGRAPHY</w:t>
      </w:r>
    </w:p>
    <w:p w14:paraId="224DC266" w14:textId="77777777" w:rsidR="00300F6C" w:rsidRDefault="009127E7">
      <w:pPr>
        <w:pStyle w:val="Body"/>
        <w:spacing w:line="480" w:lineRule="auto"/>
      </w:pPr>
      <w:r>
        <w:t>Ayres, P. &amp; Sweller, J</w:t>
      </w:r>
      <w:r>
        <w:t xml:space="preserve"> (2014). The split-attention principle in multimedia learning. In R.E. Mayer </w:t>
      </w:r>
      <w:r>
        <w:tab/>
      </w:r>
      <w:r>
        <w:tab/>
        <w:t xml:space="preserve">(Ed.), The Cambridge Handbook of Multimedia Learning, 206-226. New York: </w:t>
      </w:r>
      <w:r>
        <w:tab/>
      </w:r>
      <w:r>
        <w:tab/>
      </w:r>
      <w:r>
        <w:tab/>
        <w:t>Cambridge</w:t>
      </w:r>
      <w:r w:rsidR="00347238">
        <w:t>.</w:t>
      </w:r>
      <w:bookmarkStart w:id="0" w:name="_GoBack"/>
      <w:bookmarkEnd w:id="0"/>
    </w:p>
    <w:p w14:paraId="1C277B2E" w14:textId="77777777" w:rsidR="00300F6C" w:rsidRDefault="009127E7">
      <w:pPr>
        <w:pStyle w:val="Body"/>
        <w:spacing w:line="480" w:lineRule="auto"/>
      </w:pPr>
      <w:r>
        <w:t xml:space="preserve">Mayer, R. E. (2001). </w:t>
      </w:r>
      <w:r>
        <w:rPr>
          <w:i/>
          <w:iCs/>
        </w:rPr>
        <w:t>Multimedia learning.</w:t>
      </w:r>
      <w:r>
        <w:t xml:space="preserve"> New York: Cambridge University Press.</w:t>
      </w:r>
    </w:p>
    <w:p w14:paraId="31AD4910" w14:textId="77777777" w:rsidR="00300F6C" w:rsidRDefault="009127E7">
      <w:pPr>
        <w:pStyle w:val="Body"/>
        <w:spacing w:line="480" w:lineRule="auto"/>
      </w:pPr>
      <w:r>
        <w:rPr>
          <w:lang w:val="it-IT"/>
        </w:rPr>
        <w:t>Mayer, R.E.</w:t>
      </w:r>
      <w:r>
        <w:rPr>
          <w:lang w:val="it-IT"/>
        </w:rPr>
        <w:t xml:space="preserve"> &amp; Pilegard C. (2014)</w:t>
      </w:r>
      <w:r>
        <w:t xml:space="preserve">. Principles for managing essential processing in multimedia </w:t>
      </w:r>
      <w:r>
        <w:tab/>
      </w:r>
      <w:r>
        <w:tab/>
      </w:r>
      <w:r>
        <w:t xml:space="preserve">learning: segmenting, pre-training, and modality principles. In R. E. Mayer (Ed.), The </w:t>
      </w:r>
      <w:r>
        <w:tab/>
      </w:r>
      <w:r>
        <w:tab/>
      </w:r>
      <w:r>
        <w:t>Cambridge Handbook of Multimedia Learning. (pp. 316-344). New York: Cambridge.</w:t>
      </w:r>
    </w:p>
    <w:p w14:paraId="5FD8AAE0" w14:textId="77777777" w:rsidR="00300F6C" w:rsidRDefault="009127E7">
      <w:pPr>
        <w:pStyle w:val="Body"/>
        <w:spacing w:line="480" w:lineRule="auto"/>
      </w:pPr>
      <w:r>
        <w:t xml:space="preserve">van </w:t>
      </w:r>
      <w:r>
        <w:t xml:space="preserve">Gog, T. (2014). The signaling (or cueing) principle in multimedia learning. In R. E. Mayer </w:t>
      </w:r>
      <w:r>
        <w:tab/>
      </w:r>
      <w:r>
        <w:tab/>
        <w:t xml:space="preserve">(Ed.), The Cambridge Handbook of Multimedia Learning, 263-278. New York: </w:t>
      </w:r>
      <w:r>
        <w:tab/>
      </w:r>
      <w:r>
        <w:tab/>
      </w:r>
      <w:r>
        <w:tab/>
        <w:t>Cambridge</w:t>
      </w:r>
      <w:r w:rsidR="00347238">
        <w:t>.</w:t>
      </w:r>
    </w:p>
    <w:sectPr w:rsidR="00300F6C" w:rsidSect="00347238">
      <w:headerReference w:type="even" r:id="rId11"/>
      <w:headerReference w:type="default" r:id="rId12"/>
      <w:headerReference w:type="first" r:id="rId13"/>
      <w:pgSz w:w="12240" w:h="15840"/>
      <w:pgMar w:top="1440" w:right="1440" w:bottom="1440" w:left="1440" w:header="720" w:footer="86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76ABF" w14:textId="77777777" w:rsidR="009127E7" w:rsidRDefault="009127E7">
      <w:r>
        <w:separator/>
      </w:r>
    </w:p>
  </w:endnote>
  <w:endnote w:type="continuationSeparator" w:id="0">
    <w:p w14:paraId="05E61637" w14:textId="77777777" w:rsidR="009127E7" w:rsidRDefault="00912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B096B" w14:textId="77777777" w:rsidR="009127E7" w:rsidRDefault="009127E7">
      <w:r>
        <w:separator/>
      </w:r>
    </w:p>
  </w:footnote>
  <w:footnote w:type="continuationSeparator" w:id="0">
    <w:p w14:paraId="5BB744BE" w14:textId="77777777" w:rsidR="009127E7" w:rsidRDefault="009127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A944C" w14:textId="77777777" w:rsidR="00347238" w:rsidRDefault="00347238" w:rsidP="00075A9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37F0E5" w14:textId="77777777" w:rsidR="00347238" w:rsidRDefault="00347238" w:rsidP="0034723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32D55" w14:textId="77777777" w:rsidR="00347238" w:rsidRDefault="00347238" w:rsidP="00075A9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D4EDE08" w14:textId="77777777" w:rsidR="00300F6C" w:rsidRDefault="00347238" w:rsidP="00347238">
    <w:pPr>
      <w:ind w:right="360"/>
    </w:pPr>
    <w:r>
      <w:t>Running head: Multimedia Critique Paper #2</w:t>
    </w:r>
    <w:r>
      <w:tab/>
    </w:r>
    <w:r>
      <w:tab/>
    </w:r>
    <w:r>
      <w:tab/>
    </w:r>
    <w:r>
      <w:tab/>
    </w:r>
    <w:r>
      <w:tab/>
      <w:t>Nelson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7FE4C" w14:textId="77777777" w:rsidR="00347238" w:rsidRDefault="00347238" w:rsidP="00075A9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E537A16" w14:textId="77777777" w:rsidR="00347238" w:rsidRDefault="00347238" w:rsidP="00347238">
    <w:pPr>
      <w:pStyle w:val="Header"/>
      <w:ind w:right="360"/>
      <w:jc w:val="right"/>
    </w:pPr>
    <w:r>
      <w:t xml:space="preserve">Nelson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F6C"/>
    <w:rsid w:val="00300F6C"/>
    <w:rsid w:val="00347238"/>
    <w:rsid w:val="009127E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F6BBF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347238"/>
    <w:pPr>
      <w:tabs>
        <w:tab w:val="center" w:pos="4680"/>
        <w:tab w:val="right" w:pos="9360"/>
      </w:tabs>
    </w:pPr>
  </w:style>
  <w:style w:type="character" w:customStyle="1" w:styleId="HeaderChar">
    <w:name w:val="Header Char"/>
    <w:basedOn w:val="DefaultParagraphFont"/>
    <w:link w:val="Header"/>
    <w:uiPriority w:val="99"/>
    <w:rsid w:val="00347238"/>
    <w:rPr>
      <w:sz w:val="24"/>
      <w:szCs w:val="24"/>
    </w:rPr>
  </w:style>
  <w:style w:type="paragraph" w:styleId="Footer">
    <w:name w:val="footer"/>
    <w:basedOn w:val="Normal"/>
    <w:link w:val="FooterChar"/>
    <w:uiPriority w:val="99"/>
    <w:unhideWhenUsed/>
    <w:rsid w:val="00347238"/>
    <w:pPr>
      <w:tabs>
        <w:tab w:val="center" w:pos="4680"/>
        <w:tab w:val="right" w:pos="9360"/>
      </w:tabs>
    </w:pPr>
  </w:style>
  <w:style w:type="character" w:customStyle="1" w:styleId="FooterChar">
    <w:name w:val="Footer Char"/>
    <w:basedOn w:val="DefaultParagraphFont"/>
    <w:link w:val="Footer"/>
    <w:uiPriority w:val="99"/>
    <w:rsid w:val="00347238"/>
    <w:rPr>
      <w:sz w:val="24"/>
      <w:szCs w:val="24"/>
    </w:rPr>
  </w:style>
  <w:style w:type="character" w:styleId="PageNumber">
    <w:name w:val="page number"/>
    <w:basedOn w:val="DefaultParagraphFont"/>
    <w:uiPriority w:val="99"/>
    <w:semiHidden/>
    <w:unhideWhenUsed/>
    <w:rsid w:val="00347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musictheory.net"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http://musictheory.net"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1159</Words>
  <Characters>6611</Characters>
  <Application>Microsoft Macintosh Word</Application>
  <DocSecurity>0</DocSecurity>
  <Lines>55</Lines>
  <Paragraphs>15</Paragraphs>
  <ScaleCrop>false</ScaleCrop>
  <LinksUpToDate>false</LinksUpToDate>
  <CharactersWithSpaces>7755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Nelson</cp:lastModifiedBy>
  <cp:revision>2</cp:revision>
  <dcterms:created xsi:type="dcterms:W3CDTF">2017-03-16T16:22:00Z</dcterms:created>
  <dcterms:modified xsi:type="dcterms:W3CDTF">2017-03-16T16:25:00Z</dcterms:modified>
</cp:coreProperties>
</file>